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AB577">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四川省执业药师协会</w:t>
      </w:r>
    </w:p>
    <w:p w14:paraId="7EE8C5BF">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2024年度成都市药品零售行业药学技术人员规范化培训课程网络培训课件视频</w:t>
      </w:r>
      <w:r>
        <w:rPr>
          <w:rFonts w:hint="eastAsia" w:ascii="方正公文小标宋" w:hAnsi="方正公文小标宋" w:eastAsia="方正公文小标宋" w:cs="方正公文小标宋"/>
          <w:b w:val="0"/>
          <w:i w:val="0"/>
          <w:strike w:val="0"/>
          <w:color w:val="auto"/>
          <w:sz w:val="44"/>
          <w:szCs w:val="44"/>
          <w:u w:val="none"/>
        </w:rPr>
        <w:t>项目</w:t>
      </w:r>
    </w:p>
    <w:p w14:paraId="67C7915D">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p>
    <w:p w14:paraId="3FBC79E3">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比</w:t>
      </w:r>
    </w:p>
    <w:p w14:paraId="4B71A662">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选</w:t>
      </w:r>
    </w:p>
    <w:p w14:paraId="56535AE8">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文</w:t>
      </w:r>
    </w:p>
    <w:p w14:paraId="714AC8BD">
      <w:pPr>
        <w:spacing w:after="120" w:line="360" w:lineRule="auto"/>
        <w:jc w:val="center"/>
        <w:rPr>
          <w:rFonts w:hint="eastAsia" w:ascii="方正公文小标宋" w:hAnsi="方正公文小标宋" w:eastAsia="方正公文小标宋" w:cs="方正公文小标宋"/>
          <w:b w:val="0"/>
          <w:i w:val="0"/>
          <w:strike w:val="0"/>
          <w:color w:val="auto"/>
          <w:sz w:val="44"/>
          <w:szCs w:val="44"/>
          <w:u w:val="none"/>
          <w:lang w:val="en-US" w:eastAsia="zh-CN"/>
        </w:rPr>
      </w:pPr>
      <w:r>
        <w:rPr>
          <w:rFonts w:hint="eastAsia" w:ascii="方正公文小标宋" w:hAnsi="方正公文小标宋" w:eastAsia="方正公文小标宋" w:cs="方正公文小标宋"/>
          <w:b w:val="0"/>
          <w:i w:val="0"/>
          <w:strike w:val="0"/>
          <w:color w:val="auto"/>
          <w:sz w:val="44"/>
          <w:szCs w:val="44"/>
          <w:u w:val="none"/>
          <w:lang w:val="en-US" w:eastAsia="zh-CN"/>
        </w:rPr>
        <w:t>件</w:t>
      </w:r>
    </w:p>
    <w:p w14:paraId="69C7CC43">
      <w:pPr>
        <w:spacing w:after="120" w:line="360" w:lineRule="auto"/>
        <w:jc w:val="both"/>
        <w:rPr>
          <w:rFonts w:hint="eastAsia" w:ascii="方正公文小标宋" w:hAnsi="方正公文小标宋" w:eastAsia="方正公文小标宋" w:cs="方正公文小标宋"/>
          <w:b w:val="0"/>
          <w:i w:val="0"/>
          <w:strike w:val="0"/>
          <w:color w:val="auto"/>
          <w:sz w:val="44"/>
          <w:szCs w:val="44"/>
          <w:u w:val="none"/>
          <w:lang w:val="en-US" w:eastAsia="zh-CN"/>
        </w:rPr>
      </w:pPr>
    </w:p>
    <w:p w14:paraId="3589913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86F67F1">
      <w:pPr>
        <w:jc w:val="center"/>
        <w:rPr>
          <w:rFonts w:hint="eastAsia" w:ascii="方正仿宋_GB2312" w:hAnsi="方正仿宋_GB2312" w:eastAsia="方正仿宋_GB2312" w:cs="方正仿宋_GB2312"/>
          <w:b/>
          <w:bCs/>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2"/>
          <w:szCs w:val="32"/>
          <w:u w:val="none"/>
          <w:lang w:val="en-US" w:eastAsia="zh-CN" w:bidi="ar-SA"/>
        </w:rPr>
        <w:t>采购人：四川省执业药师协会</w:t>
      </w:r>
    </w:p>
    <w:p w14:paraId="1D1F0DDA">
      <w:pPr>
        <w:jc w:val="center"/>
        <w:rPr>
          <w:rFonts w:hint="eastAsia" w:ascii="方正仿宋_GB2312" w:hAnsi="方正仿宋_GB2312" w:eastAsia="方正仿宋_GB2312" w:cs="方正仿宋_GB2312"/>
          <w:b/>
          <w:bCs/>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2"/>
          <w:szCs w:val="32"/>
          <w:u w:val="none"/>
          <w:lang w:val="en-US" w:eastAsia="zh-CN" w:bidi="ar-SA"/>
        </w:rPr>
        <w:t>发布日期：2024年9月18日</w:t>
      </w:r>
    </w:p>
    <w:p w14:paraId="65642EA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35DC621">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p>
    <w:p w14:paraId="2BE2B698">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p>
    <w:p w14:paraId="3FDAE9DB">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p>
    <w:p w14:paraId="0A0ABF0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第一章 比选公告</w:t>
      </w:r>
    </w:p>
    <w:p w14:paraId="39C53B9E">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四川省执业药师协会拟对“2024年度成都市药品零售行业药学技术人员规范化培训课程网络培训课件视频项目”进行公开比选，欢迎符合条件的供应商参与。</w:t>
      </w:r>
    </w:p>
    <w:p w14:paraId="3340DEC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一、项目概况</w:t>
      </w:r>
    </w:p>
    <w:p w14:paraId="250413B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项目名称：2024年度成都市药品零售行业药学技术人员规范化培训课程网络培训课件视频项目</w:t>
      </w:r>
      <w:bookmarkStart w:id="0" w:name="_GoBack"/>
      <w:bookmarkEnd w:id="0"/>
    </w:p>
    <w:p w14:paraId="3AA7D9C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预算金额：16万元（含税）</w:t>
      </w:r>
    </w:p>
    <w:p w14:paraId="7B21AE7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项目内容：制作30个课件视频（含原始文件、合成视频、字幕、片头片尾、动画特效等），每个视频最长不超过120分钟，具体技术要求详见第二章。</w:t>
      </w:r>
    </w:p>
    <w:p w14:paraId="5BB904A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二、参选人资格要求</w:t>
      </w:r>
    </w:p>
    <w:p w14:paraId="5F7FC9B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具有独立法人资格；</w:t>
      </w:r>
    </w:p>
    <w:p w14:paraId="6CFE681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具有良好的商业信誉和健全的财务会计制度；</w:t>
      </w:r>
    </w:p>
    <w:p w14:paraId="576F9AA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具有履行合同所必需的设备和专业技术能力；</w:t>
      </w:r>
    </w:p>
    <w:p w14:paraId="4CDA6A0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有依法缴纳税收和社会保障资金的良好记录；</w:t>
      </w:r>
    </w:p>
    <w:p w14:paraId="3E50BBA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5. 参加本次比选活动前两年内，在经营活动中没有重大违法违规记录；</w:t>
      </w:r>
    </w:p>
    <w:p w14:paraId="3999013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三、比选文件获取</w:t>
      </w:r>
    </w:p>
    <w:p w14:paraId="24F6E19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本公告附件自行下载（或联系采购方获取）。</w:t>
      </w:r>
    </w:p>
    <w:p w14:paraId="792F4BD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四、参选文件递交</w:t>
      </w:r>
    </w:p>
    <w:p w14:paraId="39798CB4">
      <w:pPr>
        <w:widowControl w:val="0"/>
        <w:spacing w:after="120" w:line="360" w:lineRule="auto"/>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截止时间：2024年9月25日</w:t>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上午10:00</w:t>
      </w:r>
      <w:r>
        <w:rPr>
          <w:rFonts w:hint="eastAsia" w:ascii="方正仿宋_GB2312" w:hAnsi="方正仿宋_GB2312" w:eastAsia="方正仿宋_GB2312" w:cs="方正仿宋_GB2312"/>
          <w:b w:val="0"/>
          <w:i w:val="0"/>
          <w:strike w:val="0"/>
          <w:color w:val="auto"/>
          <w:kern w:val="2"/>
          <w:sz w:val="32"/>
          <w:szCs w:val="32"/>
          <w:u w:val="none"/>
          <w:lang w:val="en-US" w:eastAsia="zh-CN" w:bidi="ar-SA"/>
        </w:rPr>
        <w:t>（北京时间）</w:t>
      </w:r>
    </w:p>
    <w:p w14:paraId="057D1AB2">
      <w:pPr>
        <w:widowControl w:val="0"/>
        <w:spacing w:after="120" w:line="360" w:lineRule="auto"/>
        <w:jc w:val="both"/>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递交方式：</w:t>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纸质文件一式贰份（正本一份，副本一份）密封送达。</w:t>
      </w:r>
    </w:p>
    <w:p w14:paraId="612CCF6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递交地址：成都市武侯区星狮路818号大合仓星商界B区1栋2单元603号</w:t>
      </w:r>
    </w:p>
    <w:p w14:paraId="63E1737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联系人：安静 电话：13518205516</w:t>
      </w:r>
    </w:p>
    <w:p w14:paraId="6FFD281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五、比选公告发布媒介</w:t>
      </w:r>
    </w:p>
    <w:p w14:paraId="7E77523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四川省执业药师协会官网http://www..sclpa.cn。</w:t>
      </w:r>
    </w:p>
    <w:p w14:paraId="2B4334F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六、公告期限</w:t>
      </w:r>
    </w:p>
    <w:p w14:paraId="6A1DA52F">
      <w:pPr>
        <w:rPr>
          <w:rFonts w:hint="default"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2024年9月18日至2024年9月24日。</w:t>
      </w:r>
    </w:p>
    <w:p w14:paraId="6F2CACC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17158C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第二章 项目技术要求</w:t>
      </w:r>
    </w:p>
    <w:p w14:paraId="095CFBE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一、制作内容</w:t>
      </w:r>
    </w:p>
    <w:p w14:paraId="451DA5E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制作30个课件视频，每个视频内容最长不超过120分钟；</w:t>
      </w:r>
    </w:p>
    <w:p w14:paraId="34925B6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统一的片头和片尾动画，课件视频版权所有者水印标识，片头应当能对每个课件视频做出区分；</w:t>
      </w:r>
    </w:p>
    <w:p w14:paraId="7D73F2F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根据授课内容的实际需要制作穿插在课件视频中的动画、声音、图片、特效等；</w:t>
      </w:r>
    </w:p>
    <w:p w14:paraId="49AC085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根据甲方提供的授课内容为课件视频制作相应独立字幕文件。</w:t>
      </w:r>
    </w:p>
    <w:p w14:paraId="170D299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二、交付内容</w:t>
      </w:r>
    </w:p>
    <w:p w14:paraId="7352E1E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每个课件视频对应交付：</w:t>
      </w:r>
    </w:p>
    <w:p w14:paraId="5DC589B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原始文件（录制后未经压缩的原始格式文件以及动画、图片、声音、特效等可再编辑的文件）；</w:t>
      </w:r>
    </w:p>
    <w:p w14:paraId="74453D5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合成后的课件视频文件（MP4格式）。</w:t>
      </w:r>
    </w:p>
    <w:p w14:paraId="16B4E3A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三、质量要求</w:t>
      </w:r>
    </w:p>
    <w:p w14:paraId="2B4074E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课件视频的主要内容为授课教师通过口头讲述（非机械朗读）的方式呈现授课内容，讲述语言为中文普通话，讲述过程自然流畅、声情并茂，音质音量清晰适当。</w:t>
      </w:r>
    </w:p>
    <w:p w14:paraId="7D1872F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录制采用纯色背景，以便通过抠像置换入相关背景。</w:t>
      </w:r>
    </w:p>
    <w:p w14:paraId="24A97D0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成品视频文件最低质量要求：</w:t>
      </w:r>
    </w:p>
    <w:p w14:paraId="3A1F8F8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 文件格式：MP4</w:t>
      </w:r>
    </w:p>
    <w:p w14:paraId="14A52CE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 视频编码：H264</w:t>
      </w:r>
    </w:p>
    <w:p w14:paraId="7FACA07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 宽高比：16:9</w:t>
      </w:r>
    </w:p>
    <w:p w14:paraId="51B296E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 帧率：25fps</w:t>
      </w:r>
    </w:p>
    <w:p w14:paraId="2625A7F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 xml:space="preserve">   - 音频编码：AAC</w:t>
      </w:r>
    </w:p>
    <w:p w14:paraId="1760E45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未尽质量约定以中国大学MOOC（https://www.icourse163.org）中成都中医药大学“中药学”课程效果呈现为准。</w:t>
      </w:r>
    </w:p>
    <w:p w14:paraId="14FECCC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四、拍摄地点</w:t>
      </w:r>
    </w:p>
    <w:p w14:paraId="7F5D165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符合课件拍摄条件且比选人认可的专业场地。</w:t>
      </w:r>
    </w:p>
    <w:p w14:paraId="19EED63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五、交付周期</w:t>
      </w:r>
    </w:p>
    <w:p w14:paraId="628F87A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每期拍摄后15个工作日内交付对应课件视频及原始文件。</w:t>
      </w:r>
    </w:p>
    <w:p w14:paraId="2A95BC18">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p>
    <w:p w14:paraId="6BE5B27A">
      <w:pPr>
        <w:rPr>
          <w:rFonts w:hint="eastAsia" w:ascii="方正仿宋_GB2312" w:hAnsi="方正仿宋_GB2312" w:eastAsia="方正仿宋_GB2312" w:cs="方正仿宋_GB2312"/>
          <w:b/>
          <w:bCs/>
          <w:i w:val="0"/>
          <w:strike w:val="0"/>
          <w:color w:val="auto"/>
          <w:kern w:val="2"/>
          <w:sz w:val="36"/>
          <w:szCs w:val="36"/>
          <w:u w:val="none"/>
          <w:lang w:val="en-US" w:eastAsia="zh-CN" w:bidi="ar-SA"/>
        </w:rPr>
      </w:pPr>
    </w:p>
    <w:p w14:paraId="5FF2453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第三章 参选人须知</w:t>
      </w:r>
    </w:p>
    <w:p w14:paraId="336BA7E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一、参选文件组成</w:t>
      </w:r>
    </w:p>
    <w:p w14:paraId="0F4FA75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（一）商务部分</w:t>
      </w:r>
    </w:p>
    <w:p w14:paraId="111FF42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营业执照副本复印件（加盖公章）；</w:t>
      </w:r>
    </w:p>
    <w:p w14:paraId="3E3D6D6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法定代表人身份证复印件；</w:t>
      </w:r>
    </w:p>
    <w:p w14:paraId="137B6EA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授权委托人身份证复印件及授权书；</w:t>
      </w:r>
    </w:p>
    <w:p w14:paraId="3189893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依法缴纳税收和社会保障资金的良好记录证明；</w:t>
      </w:r>
    </w:p>
    <w:p w14:paraId="215CC40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5. 参加本次比选前两年内无重大违法违规记录声明。</w:t>
      </w:r>
    </w:p>
    <w:p w14:paraId="53299AF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（二）技术部分</w:t>
      </w:r>
    </w:p>
    <w:p w14:paraId="2DF04DA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项目理解与制作思路；</w:t>
      </w:r>
    </w:p>
    <w:p w14:paraId="5C0EB7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技术方案（拍摄、剪辑、特效、字幕制作流程）；</w:t>
      </w:r>
    </w:p>
    <w:p w14:paraId="0AC283E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项目团队配置（导演、摄像、后期、动画等）；</w:t>
      </w:r>
    </w:p>
    <w:p w14:paraId="65C32E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质量保障措施；</w:t>
      </w:r>
    </w:p>
    <w:p w14:paraId="1EBE10B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5. 交付与配合方案（与采购方、讲师的协作机制）；</w:t>
      </w:r>
    </w:p>
    <w:p w14:paraId="1BE1F95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6. 修改响应承诺（如：免费修改次数、响应时间）。</w:t>
      </w:r>
    </w:p>
    <w:p w14:paraId="7AB6EFC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（三）报价部分</w:t>
      </w:r>
    </w:p>
    <w:p w14:paraId="0CB5883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报价函（含单价、总价、费用构成说明）；</w:t>
      </w:r>
    </w:p>
    <w:p w14:paraId="00D008F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付款方式接受说明。</w:t>
      </w:r>
    </w:p>
    <w:p w14:paraId="5BFA484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二、报价要求</w:t>
      </w:r>
    </w:p>
    <w:p w14:paraId="1AF6E825">
      <w:pP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1. 总价不得超过16万元；</w:t>
      </w:r>
    </w:p>
    <w:p w14:paraId="5DD409D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须按单价（元/个）报价，并说明是否包含拍摄场地费、软硬件费、人员费、税费等全部费用；</w:t>
      </w:r>
    </w:p>
    <w:p w14:paraId="6909CF0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接受合同约定的付款方式（签订合同后付50%，完成后付50%）。</w:t>
      </w:r>
    </w:p>
    <w:p w14:paraId="4278EC3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三、无效参选情形</w:t>
      </w:r>
    </w:p>
    <w:p w14:paraId="4376B70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出现下列情形之一的，视为无效参选：</w:t>
      </w:r>
    </w:p>
    <w:p w14:paraId="188D1A8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未按要求提供资质文件；</w:t>
      </w:r>
    </w:p>
    <w:p w14:paraId="270E897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报价超过预算金额；</w:t>
      </w:r>
    </w:p>
    <w:p w14:paraId="3483F14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参选文件弄虚作假或内容严重缺失；</w:t>
      </w:r>
    </w:p>
    <w:p w14:paraId="1FB8196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不接受合同主要条款（付款方式、著作权归属等）。</w:t>
      </w:r>
    </w:p>
    <w:p w14:paraId="6FB0294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1E7371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第四章 评审方法</w:t>
      </w:r>
    </w:p>
    <w:p w14:paraId="75EA8B5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一、评审组织</w:t>
      </w:r>
    </w:p>
    <w:p w14:paraId="22E6BC5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评审小组由不少于3人的单数组成；</w:t>
      </w:r>
    </w:p>
    <w:p w14:paraId="1DDED8A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采用综合评分法，满分100分；</w:t>
      </w:r>
    </w:p>
    <w:p w14:paraId="1A09196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得分最高者推荐为中选人，若得分相同则报价低者优先。</w:t>
      </w:r>
    </w:p>
    <w:p w14:paraId="5DD24EC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二、评分标准</w:t>
      </w:r>
    </w:p>
    <w:tbl>
      <w:tblPr>
        <w:tblStyle w:val="3"/>
        <w:tblW w:w="87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025"/>
        <w:gridCol w:w="1463"/>
        <w:gridCol w:w="4729"/>
        <w:gridCol w:w="260"/>
        <w:gridCol w:w="240"/>
      </w:tblGrid>
      <w:tr w14:paraId="54F5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04988BCA">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评分项</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802C1DD">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分值</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D462867">
            <w:pPr>
              <w:keepNext w:val="0"/>
              <w:keepLines w:val="0"/>
              <w:widowControl/>
              <w:suppressLineNumbers w:val="0"/>
              <w:spacing w:line="375" w:lineRule="atLeast"/>
              <w:jc w:val="center"/>
              <w:rPr>
                <w:rFonts w:hint="eastAsia" w:ascii="方正仿宋简体" w:hAnsi="方正仿宋简体" w:eastAsia="方正仿宋简体" w:cs="方正仿宋简体"/>
                <w:b/>
                <w:bCs/>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评分细则</w:t>
            </w:r>
          </w:p>
        </w:tc>
        <w:tc>
          <w:tcPr>
            <w:tcW w:w="500" w:type="dxa"/>
            <w:gridSpan w:val="2"/>
            <w:tcBorders>
              <w:top w:val="nil"/>
              <w:left w:val="single" w:color="auto" w:sz="4" w:space="0"/>
            </w:tcBorders>
            <w:shd w:val="clear" w:color="auto" w:fill="FFFFFF"/>
            <w:tcMar>
              <w:top w:w="150" w:type="dxa"/>
              <w:left w:w="240" w:type="dxa"/>
              <w:bottom w:w="150" w:type="dxa"/>
              <w:right w:w="240" w:type="dxa"/>
            </w:tcMar>
            <w:vAlign w:val="center"/>
          </w:tcPr>
          <w:p w14:paraId="1AEC2925">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p>
        </w:tc>
      </w:tr>
      <w:tr w14:paraId="3FE6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40" w:type="dxa"/>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694D3286">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报价</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FF88EFB">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30分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B7D4662">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以最低有效报价为基准价，得分 =（基准价 ÷ 报价）× 30</w:t>
            </w:r>
          </w:p>
        </w:tc>
        <w:tc>
          <w:tcPr>
            <w:tcW w:w="260" w:type="dxa"/>
            <w:tcBorders>
              <w:left w:val="single" w:color="auto" w:sz="4" w:space="0"/>
            </w:tcBorders>
            <w:shd w:val="clear" w:color="auto" w:fill="FFFFFF"/>
            <w:tcMar>
              <w:top w:w="150" w:type="dxa"/>
              <w:left w:w="240" w:type="dxa"/>
              <w:bottom w:w="150" w:type="dxa"/>
              <w:right w:w="0" w:type="dxa"/>
            </w:tcMar>
            <w:vAlign w:val="center"/>
          </w:tcPr>
          <w:p w14:paraId="06FABDA7">
            <w:pPr>
              <w:rPr>
                <w:rFonts w:hint="default" w:ascii="Segoe UI" w:hAnsi="Segoe UI" w:eastAsia="Segoe UI" w:cs="Segoe UI"/>
                <w:i w:val="0"/>
                <w:iCs w:val="0"/>
                <w:caps w:val="0"/>
                <w:color w:val="0F1115"/>
                <w:spacing w:val="0"/>
                <w:sz w:val="22"/>
                <w:szCs w:val="22"/>
              </w:rPr>
            </w:pPr>
          </w:p>
        </w:tc>
      </w:tr>
      <w:tr w14:paraId="32EC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40" w:type="dxa"/>
        </w:trPr>
        <w:tc>
          <w:tcPr>
            <w:tcW w:w="2025" w:type="dxa"/>
            <w:vMerge w:val="restart"/>
            <w:tcBorders>
              <w:top w:val="single" w:color="auto" w:sz="4" w:space="0"/>
              <w:left w:val="single" w:color="auto" w:sz="4" w:space="0"/>
              <w:right w:val="single" w:color="auto" w:sz="4" w:space="0"/>
            </w:tcBorders>
            <w:shd w:val="clear" w:color="auto" w:fill="FFFFFF"/>
            <w:tcMar>
              <w:top w:w="150" w:type="dxa"/>
              <w:left w:w="0" w:type="dxa"/>
              <w:bottom w:w="150" w:type="dxa"/>
              <w:right w:w="240" w:type="dxa"/>
            </w:tcMar>
            <w:vAlign w:val="center"/>
          </w:tcPr>
          <w:p w14:paraId="29F6A25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技术方案与质量保障</w:t>
            </w:r>
          </w:p>
        </w:tc>
        <w:tc>
          <w:tcPr>
            <w:tcW w:w="1463" w:type="dxa"/>
            <w:vMerge w:val="restart"/>
            <w:tcBorders>
              <w:top w:val="single" w:color="auto" w:sz="4" w:space="0"/>
              <w:left w:val="single" w:color="auto" w:sz="4" w:space="0"/>
              <w:right w:val="single" w:color="auto" w:sz="4" w:space="0"/>
            </w:tcBorders>
            <w:shd w:val="clear" w:color="auto" w:fill="FFFFFF"/>
            <w:tcMar>
              <w:top w:w="150" w:type="dxa"/>
              <w:left w:w="240" w:type="dxa"/>
              <w:bottom w:w="150" w:type="dxa"/>
              <w:right w:w="240" w:type="dxa"/>
            </w:tcMar>
            <w:vAlign w:val="center"/>
          </w:tcPr>
          <w:p w14:paraId="2228B2A5">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30分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57CA79B4">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方案完整、逻辑清晰（10分）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BDEA4A4">
            <w:pPr>
              <w:rPr>
                <w:rFonts w:hint="default" w:ascii="Segoe UI" w:hAnsi="Segoe UI" w:eastAsia="Segoe UI" w:cs="Segoe UI"/>
                <w:i w:val="0"/>
                <w:iCs w:val="0"/>
                <w:caps w:val="0"/>
                <w:color w:val="0F1115"/>
                <w:spacing w:val="0"/>
                <w:sz w:val="22"/>
                <w:szCs w:val="22"/>
              </w:rPr>
            </w:pPr>
          </w:p>
        </w:tc>
      </w:tr>
      <w:tr w14:paraId="7262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025" w:type="dxa"/>
            <w:vMerge w:val="continue"/>
            <w:tcBorders>
              <w:left w:val="single" w:color="auto" w:sz="4" w:space="0"/>
              <w:right w:val="single" w:color="auto" w:sz="4" w:space="0"/>
            </w:tcBorders>
            <w:shd w:val="clear" w:color="auto" w:fill="FFFFFF"/>
            <w:tcMar>
              <w:top w:w="150" w:type="dxa"/>
              <w:left w:w="0" w:type="dxa"/>
              <w:bottom w:w="150" w:type="dxa"/>
              <w:right w:w="240" w:type="dxa"/>
            </w:tcMar>
            <w:vAlign w:val="center"/>
          </w:tcPr>
          <w:p w14:paraId="5244A912">
            <w:pPr>
              <w:jc w:val="center"/>
              <w:rPr>
                <w:rFonts w:hint="eastAsia" w:ascii="方正仿宋简体" w:hAnsi="方正仿宋简体" w:eastAsia="方正仿宋简体" w:cs="方正仿宋简体"/>
                <w:i w:val="0"/>
                <w:iCs w:val="0"/>
                <w:caps w:val="0"/>
                <w:color w:val="0F1115"/>
                <w:spacing w:val="0"/>
                <w:sz w:val="32"/>
                <w:szCs w:val="32"/>
              </w:rPr>
            </w:pPr>
          </w:p>
        </w:tc>
        <w:tc>
          <w:tcPr>
            <w:tcW w:w="1463" w:type="dxa"/>
            <w:vMerge w:val="continue"/>
            <w:tcBorders>
              <w:left w:val="single" w:color="auto" w:sz="4" w:space="0"/>
              <w:right w:val="single" w:color="auto" w:sz="4" w:space="0"/>
            </w:tcBorders>
            <w:shd w:val="clear" w:color="auto" w:fill="FFFFFF"/>
            <w:tcMar>
              <w:top w:w="150" w:type="dxa"/>
              <w:left w:w="240" w:type="dxa"/>
              <w:bottom w:w="150" w:type="dxa"/>
              <w:right w:w="240" w:type="dxa"/>
            </w:tcMar>
            <w:vAlign w:val="center"/>
          </w:tcPr>
          <w:p w14:paraId="24BDBB57">
            <w:pPr>
              <w:jc w:val="center"/>
              <w:rPr>
                <w:rFonts w:hint="eastAsia" w:ascii="方正仿宋简体" w:hAnsi="方正仿宋简体" w:eastAsia="方正仿宋简体" w:cs="方正仿宋简体"/>
                <w:i w:val="0"/>
                <w:iCs w:val="0"/>
                <w:caps w:val="0"/>
                <w:color w:val="0F1115"/>
                <w:spacing w:val="0"/>
                <w:sz w:val="32"/>
                <w:szCs w:val="32"/>
              </w:rPr>
            </w:pP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1BFE9E91">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质量保障措施具体可行（10分）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07B875AD">
            <w:pPr>
              <w:rPr>
                <w:rFonts w:hint="default" w:ascii="Segoe UI" w:hAnsi="Segoe UI" w:eastAsia="Segoe UI" w:cs="Segoe UI"/>
                <w:i w:val="0"/>
                <w:iCs w:val="0"/>
                <w:caps w:val="0"/>
                <w:color w:val="0F1115"/>
                <w:spacing w:val="0"/>
                <w:sz w:val="22"/>
                <w:szCs w:val="22"/>
              </w:rPr>
            </w:pPr>
          </w:p>
        </w:tc>
      </w:tr>
      <w:tr w14:paraId="48E9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025" w:type="dxa"/>
            <w:vMerge w:val="continue"/>
            <w:tcBorders>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7208888E">
            <w:pPr>
              <w:jc w:val="center"/>
              <w:rPr>
                <w:rFonts w:hint="eastAsia" w:ascii="方正仿宋简体" w:hAnsi="方正仿宋简体" w:eastAsia="方正仿宋简体" w:cs="方正仿宋简体"/>
                <w:i w:val="0"/>
                <w:iCs w:val="0"/>
                <w:caps w:val="0"/>
                <w:color w:val="0F1115"/>
                <w:spacing w:val="0"/>
                <w:sz w:val="32"/>
                <w:szCs w:val="32"/>
              </w:rPr>
            </w:pPr>
          </w:p>
        </w:tc>
        <w:tc>
          <w:tcPr>
            <w:tcW w:w="1463" w:type="dxa"/>
            <w:vMerge w:val="continue"/>
            <w:tcBorders>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4AB9B91">
            <w:pPr>
              <w:jc w:val="center"/>
              <w:rPr>
                <w:rFonts w:hint="eastAsia" w:ascii="方正仿宋简体" w:hAnsi="方正仿宋简体" w:eastAsia="方正仿宋简体" w:cs="方正仿宋简体"/>
                <w:i w:val="0"/>
                <w:iCs w:val="0"/>
                <w:caps w:val="0"/>
                <w:color w:val="0F1115"/>
                <w:spacing w:val="0"/>
                <w:sz w:val="32"/>
                <w:szCs w:val="32"/>
              </w:rPr>
            </w:pP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99B8573">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技术手段专业（10分）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FA29060">
            <w:pPr>
              <w:rPr>
                <w:rFonts w:hint="default" w:ascii="Segoe UI" w:hAnsi="Segoe UI" w:eastAsia="Segoe UI" w:cs="Segoe UI"/>
                <w:i w:val="0"/>
                <w:iCs w:val="0"/>
                <w:caps w:val="0"/>
                <w:color w:val="0F1115"/>
                <w:spacing w:val="0"/>
                <w:sz w:val="22"/>
                <w:szCs w:val="22"/>
              </w:rPr>
            </w:pPr>
          </w:p>
        </w:tc>
      </w:tr>
      <w:tr w14:paraId="5265F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40" w:type="dxa"/>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07773F35">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类似项目经验</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64D08D1">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20分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7FF1C0BB">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每提供1个合格案例得10分，最高20分</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858814A">
            <w:pPr>
              <w:rPr>
                <w:rFonts w:hint="default" w:ascii="Segoe UI" w:hAnsi="Segoe UI" w:eastAsia="Segoe UI" w:cs="Segoe UI"/>
                <w:i w:val="0"/>
                <w:iCs w:val="0"/>
                <w:caps w:val="0"/>
                <w:color w:val="0F1115"/>
                <w:spacing w:val="0"/>
                <w:sz w:val="22"/>
                <w:szCs w:val="22"/>
              </w:rPr>
            </w:pPr>
          </w:p>
        </w:tc>
      </w:tr>
      <w:tr w14:paraId="63495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40" w:type="dxa"/>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5DE7E1D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团队配置</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5ED4CB8D">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10分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21971F0F">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团队结构合理、人员经验丰富、分工明确</w:t>
            </w:r>
          </w:p>
        </w:tc>
        <w:tc>
          <w:tcPr>
            <w:tcW w:w="260" w:type="dxa"/>
            <w:tcBorders>
              <w:left w:val="single" w:color="auto" w:sz="4" w:space="0"/>
            </w:tcBorders>
            <w:shd w:val="clear" w:color="auto" w:fill="FFFFFF"/>
            <w:tcMar>
              <w:top w:w="150" w:type="dxa"/>
              <w:left w:w="240" w:type="dxa"/>
              <w:bottom w:w="150" w:type="dxa"/>
              <w:right w:w="0" w:type="dxa"/>
            </w:tcMar>
            <w:vAlign w:val="center"/>
          </w:tcPr>
          <w:p w14:paraId="4710B88F">
            <w:pPr>
              <w:rPr>
                <w:rFonts w:hint="default" w:ascii="Segoe UI" w:hAnsi="Segoe UI" w:eastAsia="Segoe UI" w:cs="Segoe UI"/>
                <w:i w:val="0"/>
                <w:iCs w:val="0"/>
                <w:caps w:val="0"/>
                <w:color w:val="0F1115"/>
                <w:spacing w:val="0"/>
                <w:sz w:val="22"/>
                <w:szCs w:val="22"/>
              </w:rPr>
            </w:pPr>
          </w:p>
        </w:tc>
      </w:tr>
      <w:tr w14:paraId="1A26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240" w:type="dxa"/>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716410AE">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服务承诺与配合</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5D10381">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10分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04ECCA47">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i w:val="0"/>
                <w:iCs w:val="0"/>
                <w:caps w:val="0"/>
                <w:color w:val="0F1115"/>
                <w:spacing w:val="0"/>
                <w:kern w:val="0"/>
                <w:sz w:val="32"/>
                <w:szCs w:val="32"/>
                <w:lang w:val="en-US" w:eastAsia="zh-CN" w:bidi="ar"/>
              </w:rPr>
              <w:t>免费修改次数、响应时间、与采购方及讲师协作机制清晰</w:t>
            </w:r>
          </w:p>
        </w:tc>
        <w:tc>
          <w:tcPr>
            <w:tcW w:w="260" w:type="dxa"/>
            <w:tcBorders>
              <w:left w:val="single" w:color="auto" w:sz="4" w:space="0"/>
            </w:tcBorders>
            <w:shd w:val="clear" w:color="auto" w:fill="FFFFFF"/>
            <w:tcMar>
              <w:top w:w="150" w:type="dxa"/>
              <w:left w:w="240" w:type="dxa"/>
              <w:bottom w:w="150" w:type="dxa"/>
              <w:right w:w="0" w:type="dxa"/>
            </w:tcMar>
            <w:vAlign w:val="center"/>
          </w:tcPr>
          <w:p w14:paraId="6AE1E8F2">
            <w:pPr>
              <w:rPr>
                <w:rFonts w:hint="default" w:ascii="Segoe UI" w:hAnsi="Segoe UI" w:eastAsia="Segoe UI" w:cs="Segoe UI"/>
                <w:i w:val="0"/>
                <w:iCs w:val="0"/>
                <w:caps w:val="0"/>
                <w:color w:val="0F1115"/>
                <w:spacing w:val="0"/>
                <w:sz w:val="22"/>
                <w:szCs w:val="22"/>
              </w:rPr>
            </w:pPr>
          </w:p>
        </w:tc>
      </w:tr>
      <w:tr w14:paraId="624AC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40" w:type="dxa"/>
        </w:trPr>
        <w:tc>
          <w:tcPr>
            <w:tcW w:w="2025" w:type="dxa"/>
            <w:tcBorders>
              <w:top w:val="single" w:color="auto" w:sz="4" w:space="0"/>
              <w:left w:val="single" w:color="auto" w:sz="4" w:space="0"/>
              <w:bottom w:val="single" w:color="auto" w:sz="4" w:space="0"/>
              <w:right w:val="single" w:color="auto" w:sz="4" w:space="0"/>
            </w:tcBorders>
            <w:shd w:val="clear" w:color="auto" w:fill="FFFFFF"/>
            <w:tcMar>
              <w:top w:w="150" w:type="dxa"/>
              <w:left w:w="0" w:type="dxa"/>
              <w:bottom w:w="150" w:type="dxa"/>
              <w:right w:w="240" w:type="dxa"/>
            </w:tcMar>
            <w:vAlign w:val="center"/>
          </w:tcPr>
          <w:p w14:paraId="40C1B0C8">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合计</w:t>
            </w:r>
          </w:p>
        </w:tc>
        <w:tc>
          <w:tcPr>
            <w:tcW w:w="1463"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6F61E959">
            <w:pPr>
              <w:keepNext w:val="0"/>
              <w:keepLines w:val="0"/>
              <w:widowControl/>
              <w:suppressLineNumbers w:val="0"/>
              <w:spacing w:line="375" w:lineRule="atLeast"/>
              <w:jc w:val="center"/>
              <w:rPr>
                <w:rFonts w:hint="eastAsia" w:ascii="方正仿宋简体" w:hAnsi="方正仿宋简体" w:eastAsia="方正仿宋简体" w:cs="方正仿宋简体"/>
                <w:i w:val="0"/>
                <w:iCs w:val="0"/>
                <w:caps w:val="0"/>
                <w:color w:val="0F1115"/>
                <w:spacing w:val="0"/>
                <w:sz w:val="32"/>
                <w:szCs w:val="32"/>
              </w:rPr>
            </w:pPr>
            <w:r>
              <w:rPr>
                <w:rFonts w:hint="eastAsia" w:ascii="方正仿宋简体" w:hAnsi="方正仿宋简体" w:eastAsia="方正仿宋简体" w:cs="方正仿宋简体"/>
                <w:b/>
                <w:bCs/>
                <w:i w:val="0"/>
                <w:iCs w:val="0"/>
                <w:caps w:val="0"/>
                <w:color w:val="0F1115"/>
                <w:spacing w:val="0"/>
                <w:kern w:val="0"/>
                <w:sz w:val="32"/>
                <w:szCs w:val="32"/>
                <w:lang w:val="en-US" w:eastAsia="zh-CN" w:bidi="ar"/>
              </w:rPr>
              <w:t>100分</w:t>
            </w:r>
          </w:p>
        </w:tc>
        <w:tc>
          <w:tcPr>
            <w:tcW w:w="4729" w:type="dxa"/>
            <w:tcBorders>
              <w:top w:val="single" w:color="auto" w:sz="4" w:space="0"/>
              <w:left w:val="single" w:color="auto" w:sz="4" w:space="0"/>
              <w:bottom w:val="single" w:color="auto" w:sz="4" w:space="0"/>
              <w:right w:val="single" w:color="auto" w:sz="4" w:space="0"/>
            </w:tcBorders>
            <w:shd w:val="clear" w:color="auto" w:fill="FFFFFF"/>
            <w:tcMar>
              <w:top w:w="150" w:type="dxa"/>
              <w:left w:w="240" w:type="dxa"/>
              <w:bottom w:w="150" w:type="dxa"/>
              <w:right w:w="240" w:type="dxa"/>
            </w:tcMar>
            <w:vAlign w:val="center"/>
          </w:tcPr>
          <w:p w14:paraId="150343ED">
            <w:pPr>
              <w:jc w:val="center"/>
              <w:rPr>
                <w:rFonts w:hint="default" w:ascii="方正仿宋简体" w:hAnsi="方正仿宋简体" w:eastAsia="方正仿宋简体" w:cs="方正仿宋简体"/>
                <w:i w:val="0"/>
                <w:iCs w:val="0"/>
                <w:caps w:val="0"/>
                <w:color w:val="0F1115"/>
                <w:spacing w:val="0"/>
                <w:sz w:val="32"/>
                <w:szCs w:val="32"/>
                <w:lang w:val="en-US" w:eastAsia="zh-CN"/>
              </w:rPr>
            </w:pPr>
            <w:r>
              <w:rPr>
                <w:rFonts w:hint="eastAsia" w:ascii="方正仿宋简体" w:hAnsi="方正仿宋简体" w:eastAsia="方正仿宋简体" w:cs="方正仿宋简体"/>
                <w:i w:val="0"/>
                <w:iCs w:val="0"/>
                <w:caps w:val="0"/>
                <w:color w:val="0F1115"/>
                <w:spacing w:val="0"/>
                <w:sz w:val="32"/>
                <w:szCs w:val="32"/>
                <w:lang w:val="en-US" w:eastAsia="zh-CN"/>
              </w:rPr>
              <w:t>/</w:t>
            </w:r>
          </w:p>
        </w:tc>
        <w:tc>
          <w:tcPr>
            <w:tcW w:w="260" w:type="dxa"/>
            <w:tcBorders>
              <w:left w:val="single" w:color="auto" w:sz="4" w:space="0"/>
            </w:tcBorders>
            <w:shd w:val="clear" w:color="auto" w:fill="FFFFFF"/>
            <w:tcMar>
              <w:top w:w="150" w:type="dxa"/>
              <w:left w:w="240" w:type="dxa"/>
              <w:bottom w:w="150" w:type="dxa"/>
              <w:right w:w="0" w:type="dxa"/>
            </w:tcMar>
            <w:vAlign w:val="center"/>
          </w:tcPr>
          <w:p w14:paraId="1E461BA0">
            <w:pPr>
              <w:rPr>
                <w:rFonts w:hint="default" w:ascii="Segoe UI" w:hAnsi="Segoe UI" w:eastAsia="Segoe UI" w:cs="Segoe UI"/>
                <w:i w:val="0"/>
                <w:iCs w:val="0"/>
                <w:caps w:val="0"/>
                <w:color w:val="0F1115"/>
                <w:spacing w:val="0"/>
                <w:sz w:val="22"/>
                <w:szCs w:val="22"/>
              </w:rPr>
            </w:pPr>
          </w:p>
        </w:tc>
      </w:tr>
    </w:tbl>
    <w:p w14:paraId="722D6192">
      <w:pPr>
        <w:keepNext w:val="0"/>
        <w:keepLines w:val="0"/>
        <w:widowControl/>
        <w:suppressLineNumbers w:val="0"/>
        <w:jc w:val="left"/>
      </w:pPr>
    </w:p>
    <w:p w14:paraId="7FDC9AE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92A5F1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第五章 合同主要条款（以实际签订为准）</w:t>
      </w:r>
    </w:p>
    <w:p w14:paraId="56A1CD0D">
      <w:pP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1. 合同总价：不超过16万元（含税）；</w:t>
      </w:r>
    </w:p>
    <w:p w14:paraId="7CCC43A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付款方式：合同签订后支付50%，项目完成验收合格后支付50%；</w:t>
      </w:r>
    </w:p>
    <w:p w14:paraId="55F7F5D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著作权：所有工作成果的著作权归采购方所有；</w:t>
      </w:r>
    </w:p>
    <w:p w14:paraId="7F87FFD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 违约责任：</w:t>
      </w:r>
    </w:p>
    <w:p w14:paraId="4BEF4B9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4.1乙方延期交付工作成果的，应当向甲方支付违约金，违约金的金额为</w:t>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合同总金额</w:t>
      </w:r>
      <w:r>
        <w:rPr>
          <w:rFonts w:hint="eastAsia" w:ascii="方正仿宋_GB2312" w:hAnsi="方正仿宋_GB2312" w:eastAsia="方正仿宋_GB2312" w:cs="方正仿宋_GB2312"/>
          <w:b w:val="0"/>
          <w:i w:val="0"/>
          <w:strike w:val="0"/>
          <w:color w:val="auto"/>
          <w:kern w:val="2"/>
          <w:sz w:val="32"/>
          <w:szCs w:val="32"/>
          <w:u w:val="none"/>
          <w:lang w:val="en-US" w:eastAsia="zh-CN" w:bidi="ar-SA"/>
        </w:rPr>
        <w:t>的百分之一每日。</w:t>
      </w:r>
    </w:p>
    <w:p w14:paraId="7896572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4.2 乙方拒不交付或不完全交付原始文件的，应当支付定做费总额的百分之五十作为违约金，甲方有权要求继续交付。</w:t>
      </w:r>
    </w:p>
    <w:p w14:paraId="496DD9D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4.3 乙方交付的工作成果未按照甲方合理修改建议修改的，视为没有交付。</w:t>
      </w:r>
    </w:p>
    <w:p w14:paraId="5D79E52A">
      <w:pPr>
        <w:keepNext w:val="0"/>
        <w:keepLines w:val="0"/>
        <w:widowControl/>
        <w:numPr>
          <w:ilvl w:val="0"/>
          <w:numId w:val="0"/>
        </w:numPr>
        <w:suppressLineNumbers w:val="0"/>
        <w:spacing w:before="0" w:beforeAutospacing="1" w:after="0" w:afterAutospacing="1"/>
        <w:ind w:left="0" w:leftChars="0" w:firstLine="0" w:firstLineChars="0"/>
        <w:rPr>
          <w:highlight w:val="none"/>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4.4 乙方延期交付工作成果超过30个自然日的，甲方有权解除本合同。甲方按乙方合格、完整交付的工作成果数量，以完成课件单价/个工作成果向乙方结算；乙方不完整交付工作成果（只交付合成后的课件视频，但未交付对应原始文件；或者只交付原始文件，未交付合成后的课件视频），但交付的部分符合质量约定，以视频单价*0.86系数/个工作成果向乙方结算。乙方应当自收到甲方解除合同通知之日起的五个工作日内向甲方退回多收取的部分。</w:t>
      </w:r>
      <w:r>
        <w:rPr>
          <w:rFonts w:hint="eastAsia" w:ascii="方正仿宋_GB2312" w:hAnsi="方正仿宋_GB2312" w:eastAsia="方正仿宋_GB2312" w:cs="方正仿宋_GB2312"/>
          <w:b w:val="0"/>
          <w:i w:val="0"/>
          <w:strike w:val="0"/>
          <w:color w:val="auto"/>
          <w:kern w:val="2"/>
          <w:sz w:val="32"/>
          <w:szCs w:val="32"/>
          <w:u w:val="none"/>
          <w:lang w:val="en-US" w:eastAsia="zh-CN" w:bidi="ar-SA"/>
        </w:rPr>
        <w:br w:type="textWrapping"/>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 合同期限与续约：</w:t>
      </w:r>
    </w:p>
    <w:p w14:paraId="6E3DADBF">
      <w:pPr>
        <w:pStyle w:val="2"/>
        <w:keepNext w:val="0"/>
        <w:keepLines w:val="0"/>
        <w:widowControl/>
        <w:suppressLineNumbers w:val="0"/>
        <w:spacing w:before="0" w:beforeAutospacing="0" w:after="0" w:afterAutospacing="0"/>
        <w:ind w:left="0" w:right="0"/>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5.1本合同期限自签订之日起至全部工作成果交付验收合格之日止。</w:t>
      </w:r>
    </w:p>
    <w:p w14:paraId="6EDF3DC5">
      <w:pPr>
        <w:pStyle w:val="2"/>
        <w:keepNext w:val="0"/>
        <w:keepLines w:val="0"/>
        <w:widowControl/>
        <w:suppressLineNumbers w:val="0"/>
        <w:spacing w:before="0" w:beforeAutospacing="0" w:after="0" w:afterAutospacing="0"/>
        <w:ind w:left="0" w:right="0"/>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5.2</w:t>
      </w:r>
      <w:r>
        <w:rPr>
          <w:rFonts w:hint="default" w:ascii="方正仿宋_GB2312" w:hAnsi="方正仿宋_GB2312" w:eastAsia="方正仿宋_GB2312" w:cs="方正仿宋_GB2312"/>
          <w:b w:val="0"/>
          <w:i w:val="0"/>
          <w:strike w:val="0"/>
          <w:color w:val="auto"/>
          <w:kern w:val="2"/>
          <w:sz w:val="32"/>
          <w:szCs w:val="32"/>
          <w:highlight w:val="none"/>
          <w:u w:val="none"/>
          <w:lang w:val="en-US" w:eastAsia="zh-CN" w:bidi="ar-SA"/>
        </w:rPr>
        <w:t>合同期满后，双方可协商续签。续签不超过2次，每次续签需另行签订书面合同，重新约定课件数量及金额。续签合同中的单个课件单价，相比本</w:t>
      </w: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次比选</w:t>
      </w:r>
      <w:r>
        <w:rPr>
          <w:rFonts w:hint="default" w:ascii="方正仿宋_GB2312" w:hAnsi="方正仿宋_GB2312" w:eastAsia="方正仿宋_GB2312" w:cs="方正仿宋_GB2312"/>
          <w:b w:val="0"/>
          <w:i w:val="0"/>
          <w:strike w:val="0"/>
          <w:color w:val="auto"/>
          <w:kern w:val="2"/>
          <w:sz w:val="32"/>
          <w:szCs w:val="32"/>
          <w:highlight w:val="none"/>
          <w:u w:val="none"/>
          <w:lang w:val="en-US" w:eastAsia="zh-CN" w:bidi="ar-SA"/>
        </w:rPr>
        <w:t>单价的浮动比例不得超过±10%。</w:t>
      </w:r>
    </w:p>
    <w:p w14:paraId="0AC75138">
      <w:pPr>
        <w:pStyle w:val="2"/>
        <w:keepNext w:val="0"/>
        <w:keepLines w:val="0"/>
        <w:widowControl/>
        <w:suppressLineNumbers w:val="0"/>
        <w:spacing w:before="0" w:beforeAutospacing="0" w:after="0" w:afterAutospacing="0"/>
        <w:ind w:left="0" w:right="0"/>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highlight w:val="none"/>
          <w:u w:val="none"/>
          <w:lang w:val="en-US" w:eastAsia="zh-CN" w:bidi="ar-SA"/>
        </w:rPr>
        <w:t>5.3</w:t>
      </w:r>
      <w:r>
        <w:rPr>
          <w:rFonts w:hint="default" w:ascii="方正仿宋_GB2312" w:hAnsi="方正仿宋_GB2312" w:eastAsia="方正仿宋_GB2312" w:cs="方正仿宋_GB2312"/>
          <w:b w:val="0"/>
          <w:i w:val="0"/>
          <w:strike w:val="0"/>
          <w:color w:val="auto"/>
          <w:kern w:val="2"/>
          <w:sz w:val="32"/>
          <w:szCs w:val="32"/>
          <w:highlight w:val="none"/>
          <w:u w:val="none"/>
          <w:lang w:val="en-US" w:eastAsia="zh-CN" w:bidi="ar-SA"/>
        </w:rPr>
        <w:t>任何一方无意续签的，应在当期合同期满前30日内书面通知对方。</w:t>
      </w:r>
    </w:p>
    <w:p w14:paraId="1C977A6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6. 争议解决：双方住所地法院均有管辖权。</w:t>
      </w:r>
    </w:p>
    <w:p w14:paraId="3AE13A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BFAD13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第六章 重新比选情形</w:t>
      </w:r>
    </w:p>
    <w:p w14:paraId="3B9DEA7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出现下列情形之一的，重新组织比选：</w:t>
      </w:r>
    </w:p>
    <w:p w14:paraId="7EF1E0E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有效参选人少于3家；</w:t>
      </w:r>
    </w:p>
    <w:p w14:paraId="7CA1A12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所有参选人报价高于预算金额；</w:t>
      </w:r>
    </w:p>
    <w:p w14:paraId="103AC43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所有参选人不符合资格条件。</w:t>
      </w:r>
    </w:p>
    <w:p w14:paraId="73DF02A6">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E5D672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第七章 联系方式</w:t>
      </w:r>
    </w:p>
    <w:p w14:paraId="59EEB40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联系人：安静</w:t>
      </w:r>
    </w:p>
    <w:p w14:paraId="2461340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电话：13518205516</w:t>
      </w:r>
    </w:p>
    <w:p w14:paraId="6DCB803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邮箱：274209512@qq.com</w:t>
      </w:r>
    </w:p>
    <w:p w14:paraId="48B046E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地址：成都市武侯区星狮路818号大合仓星商界B区1栋2单元603号</w:t>
      </w:r>
    </w:p>
    <w:p w14:paraId="10E9B2D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ACAD18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36"/>
          <w:szCs w:val="36"/>
          <w:u w:val="none"/>
          <w:lang w:val="en-US" w:eastAsia="zh-CN" w:bidi="ar-SA"/>
        </w:rPr>
        <w:t>第八章 附件清单</w:t>
      </w:r>
    </w:p>
    <w:p w14:paraId="6FE4C16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附件1：报价函模板</w:t>
      </w:r>
    </w:p>
    <w:p w14:paraId="59F464B3">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附件2：法定代表人授权书模板</w:t>
      </w:r>
    </w:p>
    <w:p w14:paraId="664FC67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附件3：无重大违法违规记录声明模板</w:t>
      </w:r>
    </w:p>
    <w:p w14:paraId="30B63E1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附件4：类似项目案例表模板</w:t>
      </w:r>
    </w:p>
    <w:p w14:paraId="2D3E17A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7DE975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41F0DC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E9A829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附件1：报价函模板</w:t>
      </w:r>
    </w:p>
    <w:p w14:paraId="4BF2D44A">
      <w:pPr>
        <w:jc w:val="cente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报价函</w:t>
      </w:r>
    </w:p>
    <w:p w14:paraId="29C4E44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63DEB958">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我方确认参与“2024年度药学技术人员规范化培训课件视频制作项目”比选，报价如下：</w:t>
      </w:r>
    </w:p>
    <w:p w14:paraId="01ABF9AE">
      <w:pPr>
        <w:keepNext w:val="0"/>
        <w:keepLines w:val="0"/>
        <w:pageBreakBefore w:val="0"/>
        <w:widowControl w:val="0"/>
        <w:kinsoku/>
        <w:wordWrap/>
        <w:overflowPunct/>
        <w:topLinePunct w:val="0"/>
        <w:autoSpaceDE/>
        <w:autoSpaceDN/>
        <w:bidi w:val="0"/>
        <w:adjustRightInd/>
        <w:snapToGrid/>
        <w:spacing w:after="75" w:afterAutospacing="0"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服务内容及价格表</w:t>
      </w:r>
    </w:p>
    <w:tbl>
      <w:tblPr>
        <w:tblStyle w:val="3"/>
        <w:tblW w:w="5605" w:type="pct"/>
        <w:tblInd w:w="-7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
        <w:gridCol w:w="2010"/>
        <w:gridCol w:w="2400"/>
        <w:gridCol w:w="930"/>
        <w:gridCol w:w="690"/>
        <w:gridCol w:w="1125"/>
        <w:gridCol w:w="1275"/>
        <w:gridCol w:w="600"/>
      </w:tblGrid>
      <w:tr w14:paraId="68EB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357C6C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序号</w:t>
            </w:r>
          </w:p>
        </w:tc>
        <w:tc>
          <w:tcPr>
            <w:tcW w:w="201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4236E8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服务内容</w:t>
            </w:r>
          </w:p>
        </w:tc>
        <w:tc>
          <w:tcPr>
            <w:tcW w:w="240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28CB92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技术 / 规格要求</w:t>
            </w:r>
          </w:p>
        </w:tc>
        <w:tc>
          <w:tcPr>
            <w:tcW w:w="93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43C2F1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单位</w:t>
            </w:r>
          </w:p>
        </w:tc>
        <w:tc>
          <w:tcPr>
            <w:tcW w:w="69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19FED68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数量</w:t>
            </w:r>
          </w:p>
        </w:tc>
        <w:tc>
          <w:tcPr>
            <w:tcW w:w="1125"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7176BA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单价</w:t>
            </w:r>
          </w:p>
          <w:p w14:paraId="3D5672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（单位：元）</w:t>
            </w:r>
          </w:p>
        </w:tc>
        <w:tc>
          <w:tcPr>
            <w:tcW w:w="1275"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4165F6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小计</w:t>
            </w:r>
            <w:r>
              <w:rPr>
                <w:rFonts w:hint="eastAsia" w:ascii="方正仿宋_GB2312" w:hAnsi="方正仿宋_GB2312" w:eastAsia="方正仿宋_GB2312" w:cs="方正仿宋_GB2312"/>
                <w:b/>
                <w:bCs/>
                <w:sz w:val="24"/>
                <w:szCs w:val="24"/>
              </w:rPr>
              <w:t>（单位：元）</w:t>
            </w:r>
          </w:p>
        </w:tc>
        <w:tc>
          <w:tcPr>
            <w:tcW w:w="600" w:type="dxa"/>
            <w:tcBorders>
              <w:top w:val="single" w:color="000000" w:sz="2" w:space="0"/>
              <w:left w:val="single" w:color="000000" w:sz="2" w:space="0"/>
              <w:bottom w:val="single" w:color="000000" w:sz="2" w:space="0"/>
              <w:right w:val="single" w:color="000000" w:sz="2" w:space="0"/>
            </w:tcBorders>
            <w:shd w:val="clear" w:color="auto" w:fill="F0F0F0"/>
            <w:tcMar>
              <w:top w:w="75" w:type="dxa"/>
              <w:left w:w="75" w:type="dxa"/>
              <w:bottom w:w="75" w:type="dxa"/>
              <w:right w:w="75" w:type="dxa"/>
            </w:tcMar>
            <w:vAlign w:val="center"/>
          </w:tcPr>
          <w:p w14:paraId="28F7CA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rPr>
              <w:t>备注</w:t>
            </w:r>
          </w:p>
        </w:tc>
      </w:tr>
      <w:tr w14:paraId="7F2D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1" w:hRule="atLeast"/>
        </w:trPr>
        <w:tc>
          <w:tcPr>
            <w:tcW w:w="45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49A4CD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p>
        </w:tc>
        <w:tc>
          <w:tcPr>
            <w:tcW w:w="201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73E346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highlight w:val="none"/>
              </w:rPr>
            </w:pPr>
          </w:p>
        </w:tc>
        <w:tc>
          <w:tcPr>
            <w:tcW w:w="240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18B9CC3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4"/>
                <w:szCs w:val="24"/>
                <w:highlight w:val="none"/>
              </w:rPr>
            </w:pPr>
          </w:p>
        </w:tc>
        <w:tc>
          <w:tcPr>
            <w:tcW w:w="93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018220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69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005560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125" w:type="dxa"/>
            <w:tcBorders>
              <w:top w:val="single" w:color="000000" w:sz="2" w:space="0"/>
              <w:left w:val="single" w:color="000000" w:sz="2" w:space="0"/>
              <w:right w:val="single" w:color="000000" w:sz="2" w:space="0"/>
            </w:tcBorders>
            <w:tcMar>
              <w:top w:w="75" w:type="dxa"/>
              <w:left w:w="75" w:type="dxa"/>
              <w:bottom w:w="75" w:type="dxa"/>
              <w:right w:w="75" w:type="dxa"/>
            </w:tcMar>
            <w:vAlign w:val="center"/>
          </w:tcPr>
          <w:p w14:paraId="109DF3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p w14:paraId="4C1E57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275"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AF065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sz w:val="24"/>
                <w:szCs w:val="24"/>
                <w:lang w:val="en-US" w:eastAsia="zh-CN"/>
              </w:rPr>
            </w:pPr>
          </w:p>
        </w:tc>
        <w:tc>
          <w:tcPr>
            <w:tcW w:w="60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D2950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r w14:paraId="0001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0"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53BBB0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w:t>
            </w:r>
          </w:p>
        </w:tc>
        <w:tc>
          <w:tcPr>
            <w:tcW w:w="2010"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70A7A9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...（自行增加）</w:t>
            </w:r>
          </w:p>
        </w:tc>
        <w:tc>
          <w:tcPr>
            <w:tcW w:w="240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5FEBF6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方正仿宋_GB2312" w:hAnsi="方正仿宋_GB2312" w:eastAsia="方正仿宋_GB2312" w:cs="方正仿宋_GB2312"/>
                <w:sz w:val="24"/>
                <w:szCs w:val="24"/>
                <w:highlight w:val="none"/>
              </w:rPr>
            </w:pPr>
          </w:p>
        </w:tc>
        <w:tc>
          <w:tcPr>
            <w:tcW w:w="930"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4EA5FA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690"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1AC10F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125" w:type="dxa"/>
            <w:tcBorders>
              <w:left w:val="single" w:color="000000" w:sz="2" w:space="0"/>
              <w:right w:val="single" w:color="000000" w:sz="2" w:space="0"/>
            </w:tcBorders>
            <w:tcMar>
              <w:top w:w="75" w:type="dxa"/>
              <w:left w:w="75" w:type="dxa"/>
              <w:bottom w:w="75" w:type="dxa"/>
              <w:right w:w="75" w:type="dxa"/>
            </w:tcMar>
            <w:vAlign w:val="center"/>
          </w:tcPr>
          <w:p w14:paraId="14A1CC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1275"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46E9C8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c>
          <w:tcPr>
            <w:tcW w:w="600" w:type="dxa"/>
            <w:tcBorders>
              <w:left w:val="single" w:color="000000" w:sz="2" w:space="0"/>
              <w:bottom w:val="single" w:color="000000" w:sz="2" w:space="0"/>
              <w:right w:val="single" w:color="000000" w:sz="2" w:space="0"/>
            </w:tcBorders>
            <w:tcMar>
              <w:top w:w="75" w:type="dxa"/>
              <w:left w:w="75" w:type="dxa"/>
              <w:bottom w:w="75" w:type="dxa"/>
              <w:right w:w="75" w:type="dxa"/>
            </w:tcMar>
            <w:vAlign w:val="center"/>
          </w:tcPr>
          <w:p w14:paraId="37C9E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r w14:paraId="3E56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480" w:type="dxa"/>
            <w:gridSpan w:val="5"/>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220152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 xml:space="preserve">合计（含税）： </w:t>
            </w:r>
          </w:p>
        </w:tc>
        <w:tc>
          <w:tcPr>
            <w:tcW w:w="1125"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3E0E6D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p>
        </w:tc>
        <w:tc>
          <w:tcPr>
            <w:tcW w:w="1275"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304DDD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lang w:val="en-US" w:eastAsia="zh-CN"/>
              </w:rPr>
            </w:pPr>
          </w:p>
        </w:tc>
        <w:tc>
          <w:tcPr>
            <w:tcW w:w="600" w:type="dxa"/>
            <w:tcBorders>
              <w:top w:val="single" w:color="000000" w:sz="2" w:space="0"/>
              <w:left w:val="single" w:color="000000" w:sz="2" w:space="0"/>
              <w:bottom w:val="single" w:color="000000" w:sz="2" w:space="0"/>
              <w:right w:val="single" w:color="000000" w:sz="2" w:space="0"/>
            </w:tcBorders>
            <w:tcMar>
              <w:top w:w="75" w:type="dxa"/>
              <w:left w:w="75" w:type="dxa"/>
              <w:bottom w:w="75" w:type="dxa"/>
              <w:right w:w="75" w:type="dxa"/>
            </w:tcMar>
            <w:vAlign w:val="center"/>
          </w:tcPr>
          <w:p w14:paraId="010060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2312" w:hAnsi="方正仿宋_GB2312" w:eastAsia="方正仿宋_GB2312" w:cs="方正仿宋_GB2312"/>
                <w:sz w:val="24"/>
                <w:szCs w:val="24"/>
              </w:rPr>
            </w:pPr>
          </w:p>
        </w:tc>
      </w:tr>
    </w:tbl>
    <w:p w14:paraId="26BB7A3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我方承诺：</w:t>
      </w:r>
    </w:p>
    <w:p w14:paraId="6C82015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1. 总价不超过XX万元；</w:t>
      </w:r>
    </w:p>
    <w:p w14:paraId="7EF85DE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2. 报价包含全部费用（拍摄、制作、软硬件、人员、税费等）；</w:t>
      </w:r>
    </w:p>
    <w:p w14:paraId="38A3D76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3. 接受合同约定的付款方式（签订后付50%，完成后付50%）。</w:t>
      </w:r>
    </w:p>
    <w:p w14:paraId="188119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330433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参选人名称（盖章）：__________________</w:t>
      </w:r>
    </w:p>
    <w:p w14:paraId="08CE811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6230344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19FD14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97516A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AADA51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附件2：法定代表人授权书模板</w:t>
      </w:r>
    </w:p>
    <w:p w14:paraId="6D3CEEFD">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635B7AC">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法定代表人授权书</w:t>
      </w:r>
    </w:p>
    <w:p w14:paraId="20FCE8D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0EE1D19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43F6E66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6D6C3E2">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本授权书声明：我（法定代表人姓名）系（参选人名称）的法定代表人，现授权（被授权人姓名，身份证号）为我方代理人，代表我方参加本项目比选活动，签署相关文件、进行报价、确认评审结果等一切事宜。</w:t>
      </w:r>
    </w:p>
    <w:p w14:paraId="3E9D1FD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797E5A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代理人无转委托权。</w:t>
      </w:r>
    </w:p>
    <w:p w14:paraId="2DB1BCE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22C50D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E26478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法定代表人（签字）：__________________</w:t>
      </w:r>
    </w:p>
    <w:p w14:paraId="137F9AF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代理人（签字）：__________________</w:t>
      </w:r>
    </w:p>
    <w:p w14:paraId="431DA3A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比选申请人名称（盖章）：__________________</w:t>
      </w:r>
    </w:p>
    <w:p w14:paraId="31D3060A">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57BE3D4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A6F4752">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8041CE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AB1E28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附件3：无重大违法违规记录声明模板</w:t>
      </w:r>
    </w:p>
    <w:p w14:paraId="5F3E25F5">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4FD103A">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无重大违法违规记录声明</w:t>
      </w:r>
    </w:p>
    <w:p w14:paraId="1DEDFF9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550C023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致：四川省执业药师协会</w:t>
      </w:r>
    </w:p>
    <w:p w14:paraId="3B2F8F84">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我方（参选人名称）郑重声明：</w:t>
      </w:r>
    </w:p>
    <w:p w14:paraId="4F648904">
      <w:pPr>
        <w:ind w:firstLine="640" w:firstLineChars="200"/>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在参加本次比选活动前两年内，我方在经营活动中无重大违法违规记录，未受到刑事处罚或责令停产停业、吊销许可证/执照、较大数额罚款等行政处罚。</w:t>
      </w:r>
    </w:p>
    <w:p w14:paraId="30CA791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14BD12F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如有虚假，我方愿承担一切法律责任。</w:t>
      </w:r>
    </w:p>
    <w:p w14:paraId="579B35C8">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4F4BE9E">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F1C81BF">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比选申请人名称（盖章）：__________________</w:t>
      </w:r>
    </w:p>
    <w:p w14:paraId="1978F53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日期：______年____月____日</w:t>
      </w:r>
    </w:p>
    <w:p w14:paraId="3679984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7C9CF79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8E3A910">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AC37F77">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6DB807B9">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F30C054">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DA2F6E1">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附件4：类似项目案例表模板</w:t>
      </w:r>
    </w:p>
    <w:p w14:paraId="5D60150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30DF4F94">
      <w:pPr>
        <w:jc w:val="center"/>
        <w:rPr>
          <w:rFonts w:hint="eastAsia" w:ascii="方正仿宋_GB2312" w:hAnsi="方正仿宋_GB2312" w:eastAsia="方正仿宋_GB2312" w:cs="方正仿宋_GB2312"/>
          <w:b/>
          <w:bCs/>
          <w:i w:val="0"/>
          <w:strike w:val="0"/>
          <w:color w:val="auto"/>
          <w:kern w:val="2"/>
          <w:sz w:val="44"/>
          <w:szCs w:val="44"/>
          <w:u w:val="none"/>
          <w:lang w:val="en-US" w:eastAsia="zh-CN" w:bidi="ar-SA"/>
        </w:rPr>
      </w:pPr>
      <w:r>
        <w:rPr>
          <w:rFonts w:hint="eastAsia" w:ascii="方正仿宋_GB2312" w:hAnsi="方正仿宋_GB2312" w:eastAsia="方正仿宋_GB2312" w:cs="方正仿宋_GB2312"/>
          <w:b/>
          <w:bCs/>
          <w:i w:val="0"/>
          <w:strike w:val="0"/>
          <w:color w:val="auto"/>
          <w:kern w:val="2"/>
          <w:sz w:val="44"/>
          <w:szCs w:val="44"/>
          <w:u w:val="none"/>
          <w:lang w:val="en-US" w:eastAsia="zh-CN" w:bidi="ar-SA"/>
        </w:rPr>
        <w:t>类似项目案例表</w:t>
      </w:r>
    </w:p>
    <w:p w14:paraId="4F1144CC">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4BB122DC">
      <w:pPr>
        <w:jc w:val="center"/>
        <w:rPr>
          <w:rFonts w:hint="default" w:ascii="方正仿宋_GB2312" w:hAnsi="方正仿宋_GB2312" w:eastAsia="方正仿宋_GB2312" w:cs="方正仿宋_GB2312"/>
          <w:b w:val="0"/>
          <w:i w:val="0"/>
          <w:strike w:val="0"/>
          <w:color w:val="auto"/>
          <w:kern w:val="2"/>
          <w:sz w:val="32"/>
          <w:szCs w:val="32"/>
          <w:u w:val="none"/>
          <w:lang w:val="en-US" w:eastAsia="zh-CN" w:bidi="ar-SA"/>
        </w:rPr>
      </w:pPr>
      <w:r>
        <w:rPr>
          <w:rFonts w:hint="eastAsia" w:ascii="方正仿宋_GB2312" w:hAnsi="方正仿宋_GB2312" w:eastAsia="方正仿宋_GB2312" w:cs="方正仿宋_GB2312"/>
          <w:b w:val="0"/>
          <w:i w:val="0"/>
          <w:strike w:val="0"/>
          <w:color w:val="auto"/>
          <w:kern w:val="2"/>
          <w:sz w:val="32"/>
          <w:szCs w:val="32"/>
          <w:u w:val="none"/>
          <w:lang w:val="en-US" w:eastAsia="zh-CN" w:bidi="ar-SA"/>
        </w:rPr>
        <w:t>格式自拟，需附合同或验收证明复印件</w:t>
      </w:r>
    </w:p>
    <w:p w14:paraId="115BC2CB">
      <w:pPr>
        <w:rPr>
          <w:rFonts w:hint="eastAsia" w:ascii="方正仿宋_GB2312" w:hAnsi="方正仿宋_GB2312" w:eastAsia="方正仿宋_GB2312" w:cs="方正仿宋_GB2312"/>
          <w:b w:val="0"/>
          <w:i w:val="0"/>
          <w:strike w:val="0"/>
          <w:color w:val="auto"/>
          <w:kern w:val="2"/>
          <w:sz w:val="32"/>
          <w:szCs w:val="32"/>
          <w:u w:val="none"/>
          <w:lang w:val="en-US" w:eastAsia="zh-CN" w:bidi="ar-SA"/>
        </w:rPr>
      </w:pPr>
    </w:p>
    <w:p w14:paraId="2BCDAB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1" w:fontKey="{97A53EC9-26FF-4B55-B0A7-7F79D77F31CA}"/>
  </w:font>
  <w:font w:name="方正仿宋_GB2312">
    <w:panose1 w:val="02000000000000000000"/>
    <w:charset w:val="86"/>
    <w:family w:val="auto"/>
    <w:pitch w:val="default"/>
    <w:sig w:usb0="A00002BF" w:usb1="184F6CFA" w:usb2="00000012" w:usb3="00000000" w:csb0="00040001" w:csb1="00000000"/>
    <w:embedRegular r:id="rId2" w:fontKey="{248F7DAC-ECA0-403B-A9EF-EDBF1B61D53B}"/>
  </w:font>
  <w:font w:name="方正仿宋简体">
    <w:panose1 w:val="02010601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embedRegular r:id="rId3" w:fontKey="{B2DABC83-78CF-47F6-922E-337B36FA5D5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B4FF4"/>
    <w:rsid w:val="028015A0"/>
    <w:rsid w:val="20AB4FF4"/>
    <w:rsid w:val="2FD905A2"/>
    <w:rsid w:val="411F02F9"/>
    <w:rsid w:val="42EB41CB"/>
    <w:rsid w:val="65C02573"/>
    <w:rsid w:val="72DF2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Hyperlink"/>
    <w:basedOn w:val="4"/>
    <w:uiPriority w:val="0"/>
    <w:rPr>
      <w:color w:val="0000FF"/>
      <w:u w:val="single"/>
    </w:rPr>
  </w:style>
  <w:style w:type="paragraph" w:customStyle="1" w:styleId="6">
    <w:name w:val="一级标题"/>
    <w:basedOn w:val="1"/>
    <w:next w:val="1"/>
    <w:qFormat/>
    <w:uiPriority w:val="0"/>
    <w:pPr>
      <w:keepNext/>
      <w:keepLines/>
      <w:spacing w:before="480" w:after="80"/>
      <w:jc w:val="center"/>
      <w:outlineLvl w:val="0"/>
    </w:pPr>
    <w:rPr>
      <w:rFonts w:hint="eastAsia" w:ascii="方正小标宋简体" w:hAnsi="方正小标宋简体" w:eastAsia="方正小标宋简体" w:cs="方正小标宋简体"/>
      <w:b/>
      <w:color w:val="2E54A1" w:themeColor="accent1" w:themeShade="BF"/>
      <w:sz w:val="36"/>
      <w:szCs w:val="44"/>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3025</Words>
  <Characters>3400</Characters>
  <Lines>0</Lines>
  <Paragraphs>0</Paragraphs>
  <TotalTime>0</TotalTime>
  <ScaleCrop>false</ScaleCrop>
  <LinksUpToDate>false</LinksUpToDate>
  <CharactersWithSpaces>3496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2026-06-23T08:37:00Z</dcterms:created>
  <dc:creator>向阳花开</dc:creator>
  <cp:lastModifiedBy>向阳花开</cp:lastModifiedBy>
  <dcterms:modified xsi:type="dcterms:W3CDTF">2026-06-24T08:37:38Z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96A4342E05844ABD9975FB0CD46AFA5E_11</vt:lpwstr>
  </property>
  <property fmtid="{D5CDD505-2E9C-101B-9397-08002B2CF9AE}" pid="4" name="KSOTemplateDocerSaveRecord">
    <vt:lpwstr>eyJoZGlkIjoiNmVmMTU4MWQzYjQ1ZTkyYzlmYTM1OTgxYjY5ZTI4ZTAiLCJ1c2VySWQiOiIyODE1NzA5NzQifQ==</vt:lpwstr>
  </property>
</Properties>
</file>